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EMPIRICUS OURO FUNDO DE INVESTIMENTO EM COTAS DE FUNDOS DE INVESTIMENTO MULTIMERCADO</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33.925.149/0001-30</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ÚNICA DE COTAS DO EMPIRICUS OURO FUNDO DE INVESTIMENTO EM COTAS DE FUNDOS DE INVESTIMENTO MULTIMERCADO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33.925.149/0001-30</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285A26E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DISTRIBUIDOR</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BTG PACTUAL ASSET MANAGEMENT S.A. DISTRIBUIDORA DE</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29.650.082/0001-00</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do mesmo;</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lastRenderedPageBreak/>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034EE024" w14:textId="77777777" w:rsidR="00A609BB" w:rsidRDefault="00A609BB" w:rsidP="00A609BB">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Não receberei o extrato do Fundo em formato físico, estando este disponível para acesso via portal</w:t>
            </w:r>
            <w:r w:rsidRPr="006D375B">
              <w:rPr>
                <w:rFonts w:ascii="Arial Narrow" w:hAnsi="Arial Narrow" w:cs="Arial"/>
                <w:color w:val="000000"/>
                <w:sz w:val="24"/>
                <w:szCs w:val="24"/>
              </w:rPr>
              <w:t>;</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 Externo</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preços dos ativos financeiros negociados no exterior podem ser impactados por requisitos legais, tributários e riscos cambiais. Atrasos na transferência de juros, dividendos e ganhos de capital podem afetar a liquidez e o desempenho da classe. As operações podem ocorrer em bolsas e sistemas de diferentes países, que estão sujeitos a regulamentações variáveis, sem garantias sobre a integridade das operações ou igualdade de acesso aos mercados. Os investimentos no exterior enfrentam riscos como instabilidade política e econômica, imprevisibilidade do comércio, ações governamentais (expropriação e nacionalização), controles de câmbio, volatilidade de preços, impostos sobre ganhos e flutuação das taxas de câmbio;</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Cambial</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 cenário político, bem como as condições socioeconômicas nacionais e internacionais, pode afetar o mercado financeiro resultando em alterações significativas nos preços de moedas estrangeiras ou no cupom cambial. Tais variações podem afetar negativamente o desempenho da classe de cotas;</w:t>
            </w:r>
          </w:p>
          <w:p w14:paraId="0BC2A3DA" w14:textId="5B8D6B9B"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Riscos Índice de Preços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da carteira da classe de cotas e/ou da carteira das classes investidas estão sujeitos às oscilações nos preços de ativos pós-fixados atrelados a índices que medem a inflação no país. As variações dos índices de preços poderão ocorrer também em função de alterações nas expectativas dos participantes do mercado, podendo inclusive ocorrer mudanças nos padrões de comportamento de preços dos ativos, ocorrendo ou não, mudanças significativas no contexto econômico e/ou político nacional e internacional;</w:t>
            </w:r>
          </w:p>
          <w:p w14:paraId="0E3436D7" w14:textId="19ACA9DE"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Taxa de Juros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A04D4" w:rsidP="008D4536">
            <w:pPr>
              <w:tabs>
                <w:tab w:val="left" w:pos="702"/>
              </w:tabs>
              <w:autoSpaceDE w:val="0"/>
              <w:autoSpaceDN w:val="0"/>
              <w:adjustRightInd w:val="0"/>
              <w:spacing w:after="120"/>
              <w:jc w:val="both"/>
              <w:rPr>
                <w:rFonts w:ascii="Arial Narrow" w:hAnsi="Arial Narrow" w:cs="Arial"/>
                <w:color w:val="000000"/>
                <w:sz w:val="24"/>
                <w:szCs w:val="24"/>
              </w:rPr>
            </w:pPr>
            <w:r w:rsidR="008D4536" w:rsidRPr="006D375B">
              <w:rPr>
                <w:rFonts w:ascii="Arial Narrow" w:hAnsi="Arial Narrow" w:cs="Arial"/>
                <w:color w:val="000000"/>
                <w:sz w:val="24"/>
                <w:szCs w:val="24"/>
              </w:rPr>
              <w:t>O FUNDO PODE ESTAR EXPOSTO A SIGNIFICATIVA CONCENTRAÇÃO EM ATIVOS FINANCEIROS DE POUCOS EMISSORES, COM OS RISCOS DAÍ DECORRENTES.</w:t>
            </w:r>
          </w:p>
          <w:p w14:paraId="5DBA7C79" w14:textId="70FF31F1" w:rsidR="00F0074E" w:rsidRPr="00E22FF5" w:rsidRDefault="0042196B" w:rsidP="0042196B">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O FUNDO PODERÁ ADQUIRIR ATIVOS OU MODALIDADES OPERACIONAIS DE RESPONSABILIDADE DE PESSOAS FÍSICAS OU JURÍDICAS DE DIREITO PRIVADO, OU DE EMISSORES PÚBLICOS QUE NÃO A UNIÃO FEDERAL, QUE EM CONJUNTO</w:t>
            </w:r>
            <w:r>
              <w:rPr>
                <w:rFonts w:ascii="Arial Narrow" w:hAnsi="Arial Narrow" w:cs="Arial"/>
                <w:color w:val="000000"/>
                <w:sz w:val="24"/>
                <w:szCs w:val="24"/>
              </w:rPr>
              <w:t xml:space="preserve"> ATINJAM ATÉ</w:t>
            </w:r>
            <w:r w:rsidRPr="006D375B">
              <w:rPr>
                <w:rFonts w:ascii="Arial Narrow" w:hAnsi="Arial Narrow" w:cs="Arial"/>
                <w:color w:val="000000"/>
                <w:sz w:val="24"/>
                <w:szCs w:val="24"/>
              </w:rPr>
              <w:t xml:space="preserve"> 50% DO PATRIMÔNIO LÍQUIDO DO FUNDO. O FUNDO ESTARÁ SUJEITO A SIGNIFICATIVAS PERDAS EM CASO DE NÃO PAGAMENTO DE TAIS ATIVOS E/OU MODALIDADES OPERACIONAIS.</w:t>
            </w: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0CF02D2"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sidR="00C92476">
              <w:rPr>
                <w:rFonts w:ascii="Arial Narrow" w:hAnsi="Arial Narrow" w:cs="Arial"/>
                <w:sz w:val="24"/>
                <w:szCs w:val="24"/>
              </w:rPr>
              <w:t> </w:t>
            </w:r>
            <w:r w:rsidR="00C92476">
              <w:rPr>
                <w:rFonts w:ascii="Arial Narrow" w:hAnsi="Arial Narrow" w:cs="Arial"/>
                <w:sz w:val="24"/>
                <w:szCs w:val="24"/>
              </w:rPr>
              <w:t> </w:t>
            </w:r>
            <w:r w:rsidR="00C92476">
              <w:rPr>
                <w:rFonts w:ascii="Arial Narrow" w:hAnsi="Arial Narrow" w:cs="Arial"/>
                <w:sz w:val="24"/>
                <w:szCs w:val="24"/>
              </w:rPr>
              <w:t> </w:t>
            </w:r>
            <w:r w:rsidR="00C92476">
              <w:rPr>
                <w:rFonts w:ascii="Arial Narrow" w:hAnsi="Arial Narrow" w:cs="Arial"/>
                <w:sz w:val="24"/>
                <w:szCs w:val="24"/>
              </w:rPr>
              <w:t> </w:t>
            </w:r>
            <w:r w:rsidR="00C92476">
              <w:rPr>
                <w:rFonts w:ascii="Arial Narrow" w:hAnsi="Arial Narrow" w:cs="Arial"/>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Z/Eko3AAAAAYBAAAPAAAAZHJzL2Rvd25yZXYueG1sTI5BS8NAEIXvgv9hGcGL2I2xaTVmUqRg DyqCbfE8zY5JMDsbsps2/nvXkx4f7/G9r1hNtlNHHnzrBOFmloBiqZxppUbY756u70D5QGKoc8II 3+xhVZ6fFZQbd5J3Pm5DrSJEfE4ITQh9rrWvGrbkZ65nid2nGyyFGIdam4FOEW47nSbJQltqJT40 1PO64eprO1qE9Yur+442m7dXFv18a6+yDz0iXl5Mjw+gAk/hbwy/+lEdyuh0cKMYrzqERRqHCOky AxXr+XIO6oCQ3Segy0L/1y9/AAAA//8DAFBLAQItABQABgAIAAAAIQC2gziS/gAAAOEBAAATAAAA AAAAAAAAAAAAAAAAAABbQ29udGVudF9UeXBlc10ueG1sUEsBAi0AFAAGAAgAAAAhADj9If/WAAAA lAEAAAsAAAAAAAAAAAAAAAAALwEAAF9yZWxzLy5yZWxzUEsBAi0AFAAGAAgAAAAhALc8vFcOAgAA CwQAAA4AAAAAAAAAAAAAAAAALgIAAGRycy9lMm9Eb2MueG1sUEsBAi0AFAAGAAgAAAAhAJn8SSjc AAAABgEAAA8AAAAAAAAAAAAAAAAAaAQAAGRycy9kb3ducmV2LnhtbFBLBQYAAAAABAAEAPMAAABx BQAAAAA= "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sectPr w:rsidR="00C71E3F" w:rsidRPr="00315FFA" w:rsidSect="00F83D73">
      <w:headerReference w:type="default" r:id="rId14"/>
      <w:footerReference w:type="default" r:id="rId15"/>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998FD" w14:textId="77777777" w:rsidR="00344E58" w:rsidRDefault="00344E58">
      <w:r>
        <w:separator/>
      </w:r>
    </w:p>
  </w:endnote>
  <w:endnote w:type="continuationSeparator" w:id="0">
    <w:p w14:paraId="40EEC87E" w14:textId="77777777" w:rsidR="00344E58" w:rsidRDefault="00344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3AD51" w14:textId="77777777" w:rsidR="000B3C31" w:rsidRPr="003E53D4" w:rsidRDefault="000B3C31" w:rsidP="000B3C31">
    <w:pPr>
      <w:pStyle w:val="Template-Companyname"/>
      <w:rPr>
        <w:rFonts w:ascii="Arial" w:hAnsi="Arial" w:cs="Arial"/>
        <w:bCs/>
        <w:color w:val="102653"/>
        <w:lang w:val="pt-BR"/>
      </w:rPr>
    </w:pPr>
    <w:r w:rsidRPr="003E53D4">
      <w:rPr>
        <w:rFonts w:ascii="Arial" w:hAnsi="Arial" w:cs="Arial"/>
        <w:bCs/>
        <w:color w:val="102653"/>
        <w:lang w:val="pt-BR"/>
      </w:rPr>
      <w:t>BTG Pactual</w:t>
    </w:r>
  </w:p>
  <w:p w14:paraId="6F441AC4" w14:textId="0E8264E4" w:rsidR="000B3C31" w:rsidRPr="000B3C31" w:rsidRDefault="000B3C31">
    <w:pPr>
      <w:pStyle w:val="Footer"/>
      <w:rPr>
        <w:color w:val="102653"/>
        <w:sz w:val="18"/>
      </w:rPr>
    </w:pPr>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4527320"/>
        <w:docPartObj>
          <w:docPartGallery w:val="Page Numbers (Bottom of Page)"/>
          <w:docPartUnique/>
        </w:docPartObj>
      </w:sdtPr>
      <w:sdtEndPr>
        <w:rPr>
          <w:rFonts w:ascii="Arial" w:hAnsi="Arial" w:cs="Arial"/>
          <w:szCs w:val="18"/>
        </w:rPr>
      </w:sdtEndPr>
      <w:sdtContent>
        <w:sdt>
          <w:sdtPr>
            <w:rPr>
              <w:color w:val="102653"/>
              <w:sz w:val="18"/>
            </w:rPr>
            <w:id w:val="-937209691"/>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81C5" w14:textId="77777777" w:rsidR="00CA5ADE" w:rsidRPr="003E53D4" w:rsidRDefault="00CA5ADE" w:rsidP="00CA5ADE">
    <w:pPr>
      <w:pStyle w:val="Template-Companyname"/>
      <w:rPr>
        <w:rFonts w:ascii="Arial" w:hAnsi="Arial" w:cs="Arial"/>
        <w:bCs/>
        <w:color w:val="102653"/>
        <w:lang w:val="pt-BR"/>
      </w:rPr>
    </w:pPr>
    <w:bookmarkStart w:id="12"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13"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12"/>
    <w:bookmarkEnd w:id="13"/>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7F09C" w14:textId="77777777" w:rsidR="00344E58" w:rsidRDefault="00344E58">
      <w:r>
        <w:separator/>
      </w:r>
    </w:p>
  </w:footnote>
  <w:footnote w:type="continuationSeparator" w:id="0">
    <w:p w14:paraId="6C6EC7AE" w14:textId="77777777" w:rsidR="00344E58" w:rsidRDefault="00344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29210" w14:textId="6A2690EA" w:rsidR="000B3C31" w:rsidRDefault="000B3C31" w:rsidP="000B3C31">
    <w:pPr>
      <w:pStyle w:val="Header"/>
      <w:tabs>
        <w:tab w:val="clear" w:pos="4153"/>
        <w:tab w:val="clear" w:pos="8306"/>
      </w:tabs>
      <w:jc w:val="right"/>
    </w:pPr>
    <w:r w:rsidRPr="009E266A">
      <w:rPr>
        <w:rFonts w:ascii="Arial" w:hAnsi="Arial" w:cs="Arial"/>
        <w:noProof/>
      </w:rPr>
      <w:drawing>
        <wp:inline distT="0" distB="0" distL="0" distR="0" wp14:anchorId="02E219CC" wp14:editId="37045FC2">
          <wp:extent cx="1265555" cy="488950"/>
          <wp:effectExtent l="0" t="0" r="0" b="0"/>
          <wp:docPr id="196850049" name="Picture 196850049"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forms" w:enforcement="1" w:cryptProviderType="rsaFull" w:cryptAlgorithmClass="hash" w:cryptAlgorithmType="typeAny" w:cryptAlgorithmSid="4" w:cryptSpinCount="100000" w:hash="+xah125U5++GKAf7+LfEkFWDpDs=" w:salt="1fcdlLG6MxQdkZ8kbu827g=="/>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C2F"/>
    <w:rsid w:val="00097E63"/>
    <w:rsid w:val="000A0309"/>
    <w:rsid w:val="000A1B74"/>
    <w:rsid w:val="000A2A0E"/>
    <w:rsid w:val="000A38A1"/>
    <w:rsid w:val="000A3C49"/>
    <w:rsid w:val="000A50A3"/>
    <w:rsid w:val="000A6ADE"/>
    <w:rsid w:val="000A6DD8"/>
    <w:rsid w:val="000A7399"/>
    <w:rsid w:val="000A7EEA"/>
    <w:rsid w:val="000B035E"/>
    <w:rsid w:val="000B09CC"/>
    <w:rsid w:val="000B1268"/>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92"/>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73"/>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0C3"/>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17E2B"/>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37A19"/>
    <w:rsid w:val="0034007B"/>
    <w:rsid w:val="00340585"/>
    <w:rsid w:val="003412D6"/>
    <w:rsid w:val="003417E9"/>
    <w:rsid w:val="00341CF2"/>
    <w:rsid w:val="00341F7F"/>
    <w:rsid w:val="00342E86"/>
    <w:rsid w:val="00344AF3"/>
    <w:rsid w:val="00344E58"/>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A0C"/>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285D"/>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6B"/>
    <w:rsid w:val="004219B3"/>
    <w:rsid w:val="004220FB"/>
    <w:rsid w:val="00423353"/>
    <w:rsid w:val="00423368"/>
    <w:rsid w:val="00424213"/>
    <w:rsid w:val="00424CC3"/>
    <w:rsid w:val="0042599D"/>
    <w:rsid w:val="00425BB0"/>
    <w:rsid w:val="00426646"/>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011"/>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6A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1FF9"/>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A58"/>
    <w:rsid w:val="009E7FA7"/>
    <w:rsid w:val="009E7FDF"/>
    <w:rsid w:val="009F0007"/>
    <w:rsid w:val="009F0281"/>
    <w:rsid w:val="009F0A67"/>
    <w:rsid w:val="009F1676"/>
    <w:rsid w:val="009F281E"/>
    <w:rsid w:val="009F29F8"/>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5A9"/>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9BB"/>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36F1"/>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38D"/>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5A8"/>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406"/>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476"/>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0DEA"/>
    <w:rsid w:val="00DA1379"/>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2FF5"/>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3B4C"/>
    <w:rsid w:val="00F441A5"/>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170A"/>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header2.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2.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F4A835-33E0-4914-B124-EA59A24CD53A}">
  <ds:schemaRefs>
    <ds:schemaRef ds:uri="http://purl.org/dc/elements/1.1/"/>
    <ds:schemaRef ds:uri="http://schemas.microsoft.com/office/2006/metadata/properties"/>
    <ds:schemaRef ds:uri="ccdc77cc-1942-4627-a4ab-5f16409c8cb6"/>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06d4637-727a-4907-95da-031bf71e7106"/>
    <ds:schemaRef ds:uri="http://www.w3.org/XML/1998/namespace"/>
    <ds:schemaRef ds:uri="http://purl.org/dc/dcmitype/"/>
  </ds:schemaRefs>
</ds:datastoreItem>
</file>

<file path=customXml/itemProps4.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5.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Template>
  <TotalTime>1657</TotalTime>
  <Pages>4</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5355</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2026-09-09T22:50:13Z</dcterms:created>
  <dcterms:modified xsi:type="dcterms:W3CDTF">2026-09-09T22:50:13Z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