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675F41"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CE39DD">
        <w:tc>
          <w:tcPr>
            <w:tcW w:w="6281" w:type="dxa"/>
            <w:gridSpan w:val="5"/>
            <w:tcBorders>
              <w:bottom w:val="single" w:sz="6" w:space="0" w:color="808080"/>
            </w:tcBorders>
          </w:tcPr>
          <w:p w14:paraId="152437B6" w14:textId="385C8017" w:rsidR="00BA3EEF" w:rsidRPr="00600FA0" w:rsidRDefault="00944C2B" w:rsidP="006D375B">
            <w:pPr>
              <w:spacing w:after="120"/>
              <w:jc w:val="both"/>
              <w:rPr>
                <w:rFonts w:ascii="Arial Narrow" w:hAnsi="Arial Narrow" w:cs="Arial"/>
                <w:sz w:val="24"/>
                <w:szCs w:val="24"/>
                <w:shd w:val="clear" w:color="auto" w:fill="C0C0C0"/>
              </w:rPr>
            </w:pPr>
            <w:r w:rsidRPr="00944C2B">
              <w:rPr>
                <w:rFonts w:ascii="Arial Narrow" w:hAnsi="Arial Narrow" w:cs="Arial"/>
                <w:sz w:val="24"/>
                <w:szCs w:val="24"/>
              </w:rPr>
              <w:t>EMPIRICUS DEEP VALUE BRASIL FUNDO DE INVESTIMENTO EM AÇÕES</w:t>
            </w:r>
          </w:p>
        </w:tc>
        <w:tc>
          <w:tcPr>
            <w:tcW w:w="611"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39.913.648/0001-94</w:t>
            </w:r>
          </w:p>
        </w:tc>
      </w:tr>
      <w:tr w:rsidR="00675F41" w:rsidRPr="00721819" w14:paraId="49955169" w14:textId="77777777" w:rsidTr="00CE39DD">
        <w:trPr>
          <w:trHeight w:val="333"/>
        </w:trPr>
        <w:tc>
          <w:tcPr>
            <w:tcW w:w="6281"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CE39DD">
        <w:tc>
          <w:tcPr>
            <w:tcW w:w="6281" w:type="dxa"/>
            <w:gridSpan w:val="5"/>
            <w:tcBorders>
              <w:bottom w:val="single" w:sz="6" w:space="0" w:color="808080"/>
            </w:tcBorders>
          </w:tcPr>
          <w:p w14:paraId="0060FDD1" w14:textId="6DC6D90F" w:rsidR="00CE39DD" w:rsidRPr="00600FA0" w:rsidRDefault="00944C2B" w:rsidP="00944C2B">
            <w:pPr>
              <w:spacing w:after="120"/>
              <w:jc w:val="both"/>
              <w:rPr>
                <w:rFonts w:ascii="Arial Narrow" w:hAnsi="Arial Narrow" w:cs="Arial"/>
                <w:sz w:val="24"/>
                <w:szCs w:val="24"/>
                <w:shd w:val="clear" w:color="auto" w:fill="C0C0C0"/>
              </w:rPr>
            </w:pPr>
            <w:r w:rsidRPr="00944C2B">
              <w:rPr>
                <w:rFonts w:ascii="Arial Narrow" w:hAnsi="Arial Narrow" w:cs="Arial"/>
                <w:sz w:val="24"/>
                <w:szCs w:val="24"/>
              </w:rPr>
              <w:t xml:space="preserve">CLASSE ÚNICA DE COTAS DO EMPIRICUS DEEP VALUE BRASIL FUNDO DE INVESTIMENTOEM AÇÕES </w:t>
            </w:r>
            <w:proofErr w:type="gramStart"/>
            <w:r w:rsidRPr="00944C2B">
              <w:rPr>
                <w:rFonts w:ascii="Arial Narrow" w:hAnsi="Arial Narrow" w:cs="Arial"/>
                <w:sz w:val="24"/>
                <w:szCs w:val="24"/>
              </w:rPr>
              <w:t xml:space="preserve">RESPONSABILIDADE </w:t>
            </w:r>
            <w:r>
              <w:rPr>
                <w:rFonts w:ascii="Arial Narrow" w:hAnsi="Arial Narrow" w:cs="Arial"/>
                <w:sz w:val="24"/>
                <w:szCs w:val="24"/>
              </w:rPr>
              <w:t xml:space="preserve"> </w:t>
            </w:r>
            <w:r w:rsidRPr="00944C2B">
              <w:rPr>
                <w:rFonts w:ascii="Arial Narrow" w:hAnsi="Arial Narrow" w:cs="Arial"/>
                <w:sz w:val="24"/>
                <w:szCs w:val="24"/>
              </w:rPr>
              <w:t>LIMITADA</w:t>
            </w:r>
            <w:proofErr w:type="gramEnd"/>
          </w:p>
        </w:tc>
        <w:tc>
          <w:tcPr>
            <w:tcW w:w="611"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39.913.648/0001-94</w:t>
            </w:r>
          </w:p>
        </w:tc>
      </w:tr>
      <w:tr w:rsidR="00675F41" w:rsidRPr="00721819" w14:paraId="69391B3B" w14:textId="77777777" w:rsidTr="00CE39DD">
        <w:trPr>
          <w:trHeight w:val="333"/>
        </w:trPr>
        <w:tc>
          <w:tcPr>
            <w:tcW w:w="6281"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CF1E3E" w14:paraId="69B56410" w14:textId="77777777" w:rsidTr="00CF1E3E">
        <w:tc>
          <w:tcPr>
            <w:tcW w:w="6281" w:type="dxa"/>
            <w:gridSpan w:val="5"/>
            <w:tcBorders>
              <w:bottom w:val="single" w:sz="6" w:space="0" w:color="808080"/>
            </w:tcBorders>
            <w:shd w:val="clear" w:color="auto" w:fill="FFFFFF" w:themeFill="background1"/>
          </w:tcPr>
          <w:p w14:paraId="4ED682E5" w14:textId="59CE71EB" w:rsidR="00CE39DD" w:rsidRPr="00E7046D" w:rsidRDefault="00CE39DD" w:rsidP="006D375B">
            <w:pPr>
              <w:spacing w:after="120"/>
              <w:jc w:val="both"/>
              <w:rPr>
                <w:rFonts w:ascii="Arial Narrow" w:hAnsi="Arial Narrow" w:cs="Arial"/>
                <w:sz w:val="24"/>
                <w:szCs w:val="24"/>
                <w:shd w:val="clear" w:color="auto" w:fill="C0C0C0"/>
              </w:rPr>
            </w:pPr>
          </w:p>
        </w:tc>
        <w:tc>
          <w:tcPr>
            <w:tcW w:w="611"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shd w:val="clear" w:color="auto" w:fill="auto"/>
          </w:tcPr>
          <w:p w14:paraId="3ECD6C02" w14:textId="14B056C4" w:rsidR="00CE39DD" w:rsidRPr="00CF1E3E" w:rsidRDefault="00CE39DD" w:rsidP="00CF1E3E">
            <w:pPr>
              <w:spacing w:after="120"/>
              <w:ind w:left="-108"/>
              <w:rPr>
                <w:rFonts w:ascii="Arial Narrow" w:hAnsi="Arial Narrow" w:cs="Arial"/>
                <w:sz w:val="24"/>
                <w:szCs w:val="24"/>
              </w:rPr>
            </w:pPr>
          </w:p>
        </w:tc>
      </w:tr>
      <w:tr w:rsidR="00D75F41" w:rsidRPr="00493B8E" w14:paraId="56462398" w14:textId="77777777" w:rsidTr="002F5312">
        <w:trPr>
          <w:trHeight w:val="3147"/>
        </w:trPr>
        <w:tc>
          <w:tcPr>
            <w:tcW w:w="10096" w:type="dxa"/>
            <w:gridSpan w:val="8"/>
          </w:tcPr>
          <w:tbl>
            <w:tblPr>
              <w:tblW w:w="0" w:type="auto"/>
              <w:tblLook w:val="01E0" w:firstRow="1" w:lastRow="1" w:firstColumn="1" w:lastColumn="1" w:noHBand="0" w:noVBand="0"/>
            </w:tblPr>
            <w:tblGrid>
              <w:gridCol w:w="6780"/>
              <w:gridCol w:w="280"/>
              <w:gridCol w:w="2820"/>
            </w:tblGrid>
            <w:tr w:rsidR="000F1356" w:rsidRPr="00721819" w14:paraId="01C48B35" w14:textId="77777777" w:rsidTr="00527BD3">
              <w:tc>
                <w:tcPr>
                  <w:tcW w:w="9880"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527BD3">
              <w:tc>
                <w:tcPr>
                  <w:tcW w:w="9880"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527BD3">
              <w:tc>
                <w:tcPr>
                  <w:tcW w:w="6780"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820"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527BD3">
              <w:tc>
                <w:tcPr>
                  <w:tcW w:w="6780"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527BD3" w:rsidRPr="00721819" w14:paraId="757C3E98" w14:textId="77777777">
              <w:tc>
                <w:tcPr>
                  <w:tcW w:w="6780"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820"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tc>
                <w:tcPr>
                  <w:tcW w:w="6780"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367BB37C" w14:textId="416513E4"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as estratégias de investimento do Fundo podem resultar em perdas superiores ao capital aplicado;</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41745555" w14:textId="007088F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lastRenderedPageBreak/>
              <w:t>Risco - Ações: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componentes da carteira do FUNDO e dos Fundos Investidos, que sejam ações, bônus ou recibos de subscrição, certificados de depósito de ações negociadas em mercados organizados, cotas de fundos compostos destes ativos, entre outros ativos de renda variável, estão sujeitos a oscilações nos seus preços em função da reação dos mercados frente a notícias econômicas e políticas, tanto no Brasil como no exterior, podendo ainda responder a notícias específicas a respeito dos emissores dos títulos representativos dos ativos do FUNDO e dos Fundos Investidos.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0860F60B" w14:textId="1EF1F0A3"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Investimento no Exterior:</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preços dos ativos financeiros negociados no exterior que compõem a carteira do FUNDO e dos Fundos Investidos podem ser afetados por requisitos legais ou regulatórios, por exigências tributárias relativas a todos os países nos quais eles invistam ou, ainda, pelo risco cambial quando aplicável. Podem ocorrer atrasos na transferência de juros, dividendos, ganhos de capital ou principal, dos ativos localizados em países estrangeiros em que investem os Fundos Investidos, o que pode interferir na liquidez e no desempenho do FUNDO. As operações dos Fundos Investidos poderão ser realizadas em bolsas de valores, de mercadoria e futuros ou registradas em sistema de registro, de custódia ou de liquidação financeira de diferentes países que, podem estar sujeitos a distintos níveis de regulamentação e supervisionados por autoridades locais reconhecidas, entretanto não existem garantias acerca da integridade das operações cursadas em tais países e nem, tampouco, sobre a igualdade de condições de acesso aos mercados locais. Os investimentos feitos no exterior estão expostos a riscos certos riscos que podem ser - (i) instabilidade política e econômica, (ii) imprevisibilidade do fluxo de comércio entre os países, (iii) possibilidade de ações de governos estrangeiros como expropriação, nacionalização e confisco, (iv) imposição ou modificação de controles de câmbio, (v) volatilidade de preço, (vi) imposição de impostos sobre investimentos, dividendos, juros e outros ganhos, (vii) flutuação das taxas de câmbio, (viii) diferentes leis de falência e alfândega</w:t>
            </w:r>
            <w:r>
              <w:rPr>
                <w:rFonts w:ascii="Arial Narrow" w:eastAsia="Arial Narrow" w:hAnsi="Arial Narrow" w:cs="Arial Narrow"/>
                <w:sz w:val="24"/>
                <w:szCs w:val="24"/>
              </w:rPr>
              <w:t>;</w:t>
            </w:r>
          </w:p>
          <w:p w14:paraId="6F89BB29" w14:textId="28320C5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Cambial:</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 cenário político, bem como as condições socioeconômicas nacionais e internacionais, pode afetar o mercado resultando em alterações nas taxas de juros e câmbio, nos preços dos papéis e nos ativos em geral. Tais variações podem afetar o desempenho dos Fundos Investidos e do FUNDO</w:t>
            </w:r>
            <w:r>
              <w:rPr>
                <w:rFonts w:ascii="Arial Narrow" w:eastAsia="Arial Narrow" w:hAnsi="Arial Narrow" w:cs="Arial Narrow"/>
                <w:sz w:val="24"/>
                <w:szCs w:val="24"/>
              </w:rPr>
              <w:t>;</w:t>
            </w:r>
          </w:p>
          <w:p w14:paraId="146005A8" w14:textId="29F9E9F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Crédito Privado:</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 xml:space="preserve">Os títulos privados de dívida que compõem a carteira do FUNDO e dos Fundos Investidos estão sujeitos à capacidade dos seus emissores e/ou contrapartes do FUNDO e/ou dos Fundos Investidos em honrar os compromissos de pagamento de juros e principal de suas dívidas. Alterações nas condições financeiras dos emissores dos títulos e/ou contrapartes de transações do FUNDO e/ou dos Fundos Investidos e/ou na percepção que os investidores têm sobre tais condições, bem como alterações nas condições econômicas e políticas que possam comprometer a sua capacidade de pagamento, podem trazer impactos significativos em termos de preços e liquidez dos ativos desses emissores. Mudanças na percepção da qualidade dos créditos dos emissores, mesmo que não fundamentadas, poderão trazer impactos nos preços dos títulos, comprometendo também sua liquidez. O FUNDO e os Fundos Investidos poderão ainda incorrer em risco de crédito na liquidação das operações realizadas por meio de corretoras e distribuidoras de valores mobiliários. Na hipótese de um problema de falta de capacidade e/ou disposição de pagamento de qualquer dos emissores de títulos de dívida ou das contrapartes nas operações </w:t>
            </w:r>
            <w:r w:rsidRPr="00EC4FF4">
              <w:rPr>
                <w:rFonts w:ascii="Arial Narrow" w:eastAsia="Arial Narrow" w:hAnsi="Arial Narrow" w:cs="Arial Narrow"/>
                <w:sz w:val="24"/>
                <w:szCs w:val="24"/>
              </w:rPr>
              <w:lastRenderedPageBreak/>
              <w:t>integrantes da carteira do FUNDO e/ou dos Fundos Investidos, estes poderão sofrer perdas, podendo inclusive incorrer em custos para conseguir recuperar os seus créditos</w:t>
            </w:r>
            <w:r>
              <w:rPr>
                <w:rFonts w:ascii="Arial Narrow" w:eastAsia="Arial Narrow" w:hAnsi="Arial Narrow" w:cs="Arial Narrow"/>
                <w:sz w:val="24"/>
                <w:szCs w:val="24"/>
              </w:rPr>
              <w:t>;</w:t>
            </w:r>
          </w:p>
          <w:p w14:paraId="2E4B8F26" w14:textId="15FFA2A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Riscos - Índice de Preços: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do FUNDO e/ou dos Fundos Investidos estão sujeitos às oscilações nos preços de ativos pós-fixados atrelados a índices que medem a inflação no 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1850E893"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p>
          <w:p w14:paraId="0AC01D33" w14:textId="77777777" w:rsidR="00944C2B" w:rsidRDefault="00944C2B" w:rsidP="002F5312">
            <w:pPr>
              <w:tabs>
                <w:tab w:val="left" w:pos="702"/>
              </w:tabs>
              <w:autoSpaceDE w:val="0"/>
              <w:autoSpaceDN w:val="0"/>
              <w:adjustRightInd w:val="0"/>
              <w:spacing w:after="120"/>
              <w:jc w:val="both"/>
              <w:rPr>
                <w:rFonts w:ascii="Arial Narrow" w:hAnsi="Arial Narrow" w:cs="Arial"/>
                <w:color w:val="000000"/>
                <w:sz w:val="24"/>
                <w:szCs w:val="24"/>
              </w:rPr>
            </w:pPr>
          </w:p>
          <w:p w14:paraId="5DC6CBCC" w14:textId="77777777" w:rsidR="00944C2B" w:rsidRDefault="00944C2B" w:rsidP="002F5312">
            <w:pPr>
              <w:tabs>
                <w:tab w:val="left" w:pos="702"/>
              </w:tabs>
              <w:autoSpaceDE w:val="0"/>
              <w:autoSpaceDN w:val="0"/>
              <w:adjustRightInd w:val="0"/>
              <w:spacing w:after="120"/>
              <w:jc w:val="both"/>
              <w:rPr>
                <w:rFonts w:ascii="Arial Narrow" w:hAnsi="Arial Narrow" w:cs="Arial"/>
                <w:color w:val="000000"/>
                <w:sz w:val="24"/>
                <w:szCs w:val="24"/>
              </w:rPr>
            </w:pPr>
          </w:p>
          <w:p w14:paraId="453244EF" w14:textId="77777777" w:rsidR="00944C2B" w:rsidRDefault="00944C2B" w:rsidP="002F5312">
            <w:pPr>
              <w:tabs>
                <w:tab w:val="left" w:pos="702"/>
              </w:tabs>
              <w:autoSpaceDE w:val="0"/>
              <w:autoSpaceDN w:val="0"/>
              <w:adjustRightInd w:val="0"/>
              <w:spacing w:after="120"/>
              <w:jc w:val="both"/>
              <w:rPr>
                <w:rFonts w:ascii="Arial Narrow" w:hAnsi="Arial Narrow" w:cs="Arial"/>
                <w:color w:val="000000"/>
                <w:sz w:val="24"/>
                <w:szCs w:val="24"/>
              </w:rPr>
            </w:pPr>
          </w:p>
          <w:p w14:paraId="6084FF65" w14:textId="77777777" w:rsidR="00944C2B" w:rsidRDefault="00944C2B" w:rsidP="002F5312">
            <w:pPr>
              <w:tabs>
                <w:tab w:val="left" w:pos="702"/>
              </w:tabs>
              <w:autoSpaceDE w:val="0"/>
              <w:autoSpaceDN w:val="0"/>
              <w:adjustRightInd w:val="0"/>
              <w:spacing w:after="120"/>
              <w:jc w:val="both"/>
              <w:rPr>
                <w:rFonts w:ascii="Arial Narrow" w:hAnsi="Arial Narrow" w:cs="Arial"/>
                <w:color w:val="000000"/>
                <w:sz w:val="24"/>
                <w:szCs w:val="24"/>
              </w:rPr>
            </w:pPr>
          </w:p>
          <w:p w14:paraId="58C70F05" w14:textId="77777777" w:rsidR="00944C2B" w:rsidRDefault="00944C2B" w:rsidP="002F5312">
            <w:pPr>
              <w:tabs>
                <w:tab w:val="left" w:pos="702"/>
              </w:tabs>
              <w:autoSpaceDE w:val="0"/>
              <w:autoSpaceDN w:val="0"/>
              <w:adjustRightInd w:val="0"/>
              <w:spacing w:after="120"/>
              <w:jc w:val="both"/>
              <w:rPr>
                <w:rFonts w:ascii="Arial Narrow" w:hAnsi="Arial Narrow" w:cs="Arial"/>
                <w:color w:val="000000"/>
                <w:sz w:val="24"/>
                <w:szCs w:val="24"/>
              </w:rPr>
            </w:pPr>
          </w:p>
          <w:p w14:paraId="524F367E" w14:textId="77777777" w:rsidR="00944C2B" w:rsidRDefault="00944C2B" w:rsidP="002F5312">
            <w:pPr>
              <w:tabs>
                <w:tab w:val="left" w:pos="702"/>
              </w:tabs>
              <w:autoSpaceDE w:val="0"/>
              <w:autoSpaceDN w:val="0"/>
              <w:adjustRightInd w:val="0"/>
              <w:spacing w:after="120"/>
              <w:jc w:val="both"/>
              <w:rPr>
                <w:rFonts w:ascii="Arial Narrow" w:hAnsi="Arial Narrow" w:cs="Arial"/>
                <w:color w:val="000000"/>
                <w:sz w:val="24"/>
                <w:szCs w:val="24"/>
              </w:rPr>
            </w:pPr>
          </w:p>
          <w:p w14:paraId="0FF873A9" w14:textId="77777777" w:rsidR="00944C2B" w:rsidRDefault="00944C2B" w:rsidP="002F5312">
            <w:pPr>
              <w:tabs>
                <w:tab w:val="left" w:pos="702"/>
              </w:tabs>
              <w:autoSpaceDE w:val="0"/>
              <w:autoSpaceDN w:val="0"/>
              <w:adjustRightInd w:val="0"/>
              <w:spacing w:after="120"/>
              <w:jc w:val="both"/>
              <w:rPr>
                <w:rFonts w:ascii="Arial Narrow" w:hAnsi="Arial Narrow" w:cs="Arial"/>
                <w:color w:val="000000"/>
                <w:sz w:val="24"/>
                <w:szCs w:val="24"/>
              </w:rPr>
            </w:pPr>
          </w:p>
          <w:p w14:paraId="60743A56" w14:textId="77777777" w:rsidR="00944C2B" w:rsidRDefault="00944C2B"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30F5D62B" w:rsidR="00944C2B" w:rsidRPr="00721819" w:rsidRDefault="00944C2B"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FE7C7D3" w14:textId="77777777" w:rsidTr="00CE39DD">
        <w:trPr>
          <w:gridAfter w:val="1"/>
          <w:wAfter w:w="142" w:type="dxa"/>
        </w:trPr>
        <w:tc>
          <w:tcPr>
            <w:tcW w:w="567" w:type="dxa"/>
            <w:tcBorders>
              <w:top w:val="nil"/>
              <w:left w:val="single" w:sz="12" w:space="0" w:color="003366"/>
              <w:bottom w:val="nil"/>
              <w:right w:val="nil"/>
            </w:tcBorders>
          </w:tcPr>
          <w:p w14:paraId="1B472F1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14E72E39"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03E50D8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05441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0C450646" w14:textId="77777777" w:rsidTr="00CE39DD">
        <w:trPr>
          <w:gridAfter w:val="1"/>
          <w:wAfter w:w="142" w:type="dxa"/>
        </w:trPr>
        <w:tc>
          <w:tcPr>
            <w:tcW w:w="567" w:type="dxa"/>
            <w:tcBorders>
              <w:top w:val="nil"/>
              <w:left w:val="single" w:sz="12" w:space="0" w:color="003366"/>
              <w:bottom w:val="nil"/>
              <w:right w:val="nil"/>
            </w:tcBorders>
          </w:tcPr>
          <w:p w14:paraId="19E99D0E"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23AEC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99ADEE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6565C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8CDB92F" w14:textId="77777777" w:rsidTr="00CE39DD">
        <w:trPr>
          <w:gridAfter w:val="1"/>
          <w:wAfter w:w="142" w:type="dxa"/>
        </w:trPr>
        <w:tc>
          <w:tcPr>
            <w:tcW w:w="567" w:type="dxa"/>
            <w:tcBorders>
              <w:top w:val="nil"/>
              <w:left w:val="single" w:sz="12" w:space="0" w:color="003366"/>
              <w:bottom w:val="nil"/>
              <w:right w:val="nil"/>
            </w:tcBorders>
          </w:tcPr>
          <w:p w14:paraId="4F0E65A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765E705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2007933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5DA6887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0CF0EE6" w14:textId="77777777" w:rsidTr="00CE39DD">
        <w:trPr>
          <w:gridAfter w:val="1"/>
          <w:wAfter w:w="142" w:type="dxa"/>
        </w:trPr>
        <w:tc>
          <w:tcPr>
            <w:tcW w:w="567" w:type="dxa"/>
            <w:tcBorders>
              <w:top w:val="nil"/>
              <w:left w:val="single" w:sz="12" w:space="0" w:color="003366"/>
              <w:bottom w:val="nil"/>
              <w:right w:val="nil"/>
            </w:tcBorders>
          </w:tcPr>
          <w:p w14:paraId="6746214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0876AB02"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4B8B30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5DF410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2F6A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4"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1C12EB">
      <w:pPr>
        <w:spacing w:after="120"/>
        <w:rPr>
          <w:rFonts w:ascii="Arial Narrow" w:hAnsi="Arial Narrow"/>
          <w:sz w:val="24"/>
          <w:szCs w:val="24"/>
        </w:rPr>
      </w:pPr>
    </w:p>
    <w:sectPr w:rsidR="00C71E3F" w:rsidRPr="00321F9A" w:rsidSect="00B704E2">
      <w:headerReference w:type="even" r:id="rId13"/>
      <w:headerReference w:type="default" r:id="rId14"/>
      <w:footerReference w:type="even" r:id="rId15"/>
      <w:footerReference w:type="default" r:id="rId16"/>
      <w:headerReference w:type="first" r:id="rId17"/>
      <w:footerReference w:type="first" r:id="rId18"/>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6A3D57" w14:textId="77777777" w:rsidR="006A007F" w:rsidRDefault="006A007F">
      <w:r>
        <w:separator/>
      </w:r>
    </w:p>
  </w:endnote>
  <w:endnote w:type="continuationSeparator" w:id="0">
    <w:p w14:paraId="2D43A14B" w14:textId="77777777" w:rsidR="006A007F" w:rsidRDefault="006A00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B288F" w14:textId="77777777" w:rsidR="001C12EB" w:rsidRDefault="001C12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1451212C" w:rsidR="00C45636" w:rsidRPr="008F24A8" w:rsidRDefault="005C1D72" w:rsidP="00D25870">
    <w:pPr>
      <w:pStyle w:val="Footer"/>
      <w:rPr>
        <w:color w:val="102653"/>
        <w:sz w:val="18"/>
      </w:rPr>
    </w:pPr>
    <w:bookmarkStart w:id="11"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0"/>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211B7" w14:textId="77777777" w:rsidR="001C12EB" w:rsidRDefault="001C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F9A7A0" w14:textId="77777777" w:rsidR="006A007F" w:rsidRDefault="006A007F">
      <w:r>
        <w:separator/>
      </w:r>
    </w:p>
  </w:footnote>
  <w:footnote w:type="continuationSeparator" w:id="0">
    <w:p w14:paraId="7FBDF7AD" w14:textId="77777777" w:rsidR="006A007F" w:rsidRDefault="006A00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CA38C" w14:textId="77777777" w:rsidR="001C12EB" w:rsidRDefault="001C1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82782" w14:textId="1472E37D" w:rsidR="0063039B" w:rsidRPr="005A11DF" w:rsidRDefault="006650DF" w:rsidP="00EF6DFB">
    <w:pPr>
      <w:pStyle w:val="Header"/>
      <w:tabs>
        <w:tab w:val="clear" w:pos="4153"/>
        <w:tab w:val="clear" w:pos="8306"/>
      </w:tabs>
      <w:jc w:val="right"/>
      <w:rPr>
        <w:rFonts w:ascii="Arial" w:hAnsi="Arial" w:cs="Arial"/>
        <w:sz w:val="16"/>
        <w:szCs w:val="16"/>
      </w:rPr>
    </w:pPr>
    <w:r>
      <w:rPr>
        <w:rFonts w:ascii="Arial" w:hAnsi="Arial" w:cs="Arial"/>
        <w:sz w:val="16"/>
        <w:szCs w:val="16"/>
      </w:rPr>
      <w:t>Minuta - 04/10/2024</w:t>
    </w:r>
  </w:p>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43CA9" w14:textId="77777777" w:rsidR="001C12EB" w:rsidRDefault="001C12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NZCe/ApT9SVw0PAi4asQSX7VuCyEo9MglCmJ3A3LjPzbCR2R6lOKS1M3zJeI88e7lW3zaZbTkHaaf2XX99YgDw==" w:salt="8ZVTHuq52cV/lpmojOPw8A=="/>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232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E89"/>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07F"/>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4C2B"/>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1E3E"/>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57C9"/>
    <w:rsid w:val="00E562B7"/>
    <w:rsid w:val="00E56ECD"/>
    <w:rsid w:val="00E56F50"/>
    <w:rsid w:val="00E57083"/>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1E4"/>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header2.xml" Type="http://schemas.openxmlformats.org/officeDocument/2006/relationships/header"/><Relationship Id="rId15" Target="footer1.xml" Type="http://schemas.openxmlformats.org/officeDocument/2006/relationships/footer"/><Relationship Id="rId16" Target="footer2.xml" Type="http://schemas.openxmlformats.org/officeDocument/2006/relationships/footer"/><Relationship Id="rId17" Target="header3.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LongProperties xmlns="http://schemas.microsoft.com/office/2006/metadata/longPropertie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customXml/itemProps3.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4.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5.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6.xml><?xml version="1.0" encoding="utf-8"?>
<ds:datastoreItem xmlns:ds="http://schemas.openxmlformats.org/officeDocument/2006/customXml" ds:itemID="{FAA7C57F-F697-414E-8CA6-57375C69A4ED}">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214</TotalTime>
  <Pages>3</Pages>
  <Words>1157</Words>
  <Characters>6595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7737</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2024-10-07T17:39:00Z</dcterms:modified>
  <cp:revision>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