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CRIPTO DEFI FUNDO DE INVESTIMENTO FINANCEIRO EM COTAS DE FUNDOS DE INVESTIMENTO MULTIMERCADO</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41.033.759/0001-58</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ÚNICA DE COTAS DO EMPIRICUS CRIPTO DEFI FUNDO DE INVESTIMENTO FINANCEIRO EM COTAS DE FUNDOS DE INVESTIMENTO MULTIMERCADO - RESPONSABILIDADE LIMITADA</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41.033.759/0001-58</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64D91C5C"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DTVM</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EMPIRICUS ASSET MANAGEMENT LTDA</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06.195.084/0001-42</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w:t>
            </w:r>
            <w:proofErr w:type="gramStart"/>
            <w:r w:rsidRPr="006D375B">
              <w:rPr>
                <w:rFonts w:ascii="Arial Narrow" w:hAnsi="Arial Narrow" w:cs="Arial"/>
                <w:color w:val="000000"/>
                <w:sz w:val="24"/>
                <w:szCs w:val="24"/>
              </w:rPr>
              <w:t>do mesmo</w:t>
            </w:r>
            <w:proofErr w:type="gramEnd"/>
            <w:r w:rsidRPr="006D375B">
              <w:rPr>
                <w:rFonts w:ascii="Arial Narrow" w:hAnsi="Arial Narrow" w:cs="Arial"/>
                <w:color w:val="000000"/>
                <w:sz w:val="24"/>
                <w:szCs w:val="24"/>
              </w:rPr>
              <w:t>;</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lastRenderedPageBreak/>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7CCA3C8B" w14:textId="530EB3F9"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Concordo com o não recebimento de extrato do </w:t>
            </w:r>
            <w:r>
              <w:rPr>
                <w:rFonts w:ascii="Arial Narrow" w:hAnsi="Arial Narrow" w:cs="Arial"/>
                <w:color w:val="000000"/>
                <w:sz w:val="24"/>
                <w:szCs w:val="24"/>
              </w:rPr>
              <w:t>F</w:t>
            </w:r>
            <w:r w:rsidRPr="006D375B">
              <w:rPr>
                <w:rFonts w:ascii="Arial Narrow" w:hAnsi="Arial Narrow" w:cs="Arial"/>
                <w:color w:val="000000"/>
                <w:sz w:val="24"/>
                <w:szCs w:val="24"/>
              </w:rPr>
              <w:t>undo;</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 Externo</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preços dos ativos financeiros negociados no exterior podem ser impactados por requisitos legais, tributários e riscos cambiais. Atrasos na transferência de juros, dividendos e ganhos de capital podem afetar a liquidez e o desempenho da classe. As operações podem ocorrer em bolsas e sistemas de diferentes países, que estão sujeitos a regulamentações variáveis, sem garantias sobre a integridade das operações ou igualdade de acesso aos mercados. Os investimentos no exterior enfrentam riscos como instabilidade política e econômica, imprevisibilidade do comércio, ações governamentais (expropriação e nacionalização), controles de câmbio, volatilidade de preços, impostos sobre ganhos e flutuação das taxas de câmbio;</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componentes da carteira da classe de cotas, inclusive os títulos públicos, estão sujeitos a oscilações nos seus preços em função da reação dos mercados frente a notícias econômicas e políticas, tanto no Brasil como no exterior, podendo ainda responder a notícias específicas a respeito dos emissores dos títulos representativos dos ativos da classe de cotas. As variações de preços dos ativos poderão ocorrer também em função de alterações nas expectativas dos participantes do mercado, podendo inclusive ocorrer mudanças nos padrões de comportamento de preços dos ativos sem que haja mudanças significativas no contexto econômico e/ou político nacional e internacional;</w:t>
            </w:r>
          </w:p>
          <w:p w14:paraId="0BC2A3DA" w14:textId="5B8D6B9B"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Cambial</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 cenário político, bem como as condições socioeconômicas nacionais e internacionais, pode afetar o mercado financeiro resultando em alterações significativas nos preços de moedas estrangeiras ou no cupom cambial. Tais variações podem afetar negativamente o desempenho da classe de cotas;</w:t>
            </w:r>
          </w:p>
          <w:p w14:paraId="0E3436D7" w14:textId="19ACA9DE"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Riscos Índice de Preços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da carteira da classe de cotas e/ou da carteira das classes investidas estão sujeitos às oscilações nos preços de ativos pós-fixados atrelados a índices que medem a inflação no país. As variações dos índices de preços poderão ocorrer também em função de alterações nas expectativas dos participantes do mercado, podendo inclusive ocorrer mudanças nos padrões de comportamento de preços dos ativos, ocorrendo ou não, mudanças significativas no contexto econômico e/ou político nacional e internacional;</w:t>
            </w:r>
          </w:p>
          <w:p w14:paraId="1B544AB4" w14:textId="4354784A"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Taxa de Juros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Pr="00720B3A" w:rsidRDefault="008A04D4" w:rsidP="008D4536">
            <w:pPr>
              <w:tabs>
                <w:tab w:val="left" w:pos="702"/>
              </w:tabs>
              <w:autoSpaceDE w:val="0"/>
              <w:autoSpaceDN w:val="0"/>
              <w:adjustRightInd w:val="0"/>
              <w:spacing w:after="120"/>
              <w:jc w:val="both"/>
              <w:rPr>
                <w:rFonts w:ascii="Arial Narrow" w:hAnsi="Arial Narrow" w:cs="Arial"/>
                <w:color w:val="000000"/>
                <w:sz w:val="24"/>
                <w:szCs w:val="24"/>
              </w:rPr>
            </w:pPr>
            <w:r w:rsidR="008D4536" w:rsidRPr="006D375B">
              <w:rPr>
                <w:rFonts w:ascii="Arial Narrow" w:hAnsi="Arial Narrow" w:cs="Arial"/>
                <w:color w:val="000000"/>
                <w:sz w:val="24"/>
                <w:szCs w:val="24"/>
              </w:rPr>
              <w:t>O FUNDO PODE ESTAR EXPOSTO A SIGNIFICATIVA CONCENTRAÇÃO EM ATIVOS FINANCEIROS DE POUCOS EMISSORES, COM OS RISCOS DAÍ DECORRENTES.</w:t>
            </w:r>
          </w:p>
          <w:p w14:paraId="2758E9DC" w14:textId="1910702B" w:rsidR="00F0074E" w:rsidRDefault="008A04D4" w:rsidP="00F0074E">
            <w:pPr>
              <w:tabs>
                <w:tab w:val="left" w:pos="702"/>
              </w:tabs>
              <w:autoSpaceDE w:val="0"/>
              <w:autoSpaceDN w:val="0"/>
              <w:adjustRightInd w:val="0"/>
              <w:spacing w:after="120"/>
              <w:jc w:val="both"/>
              <w:rPr>
                <w:rFonts w:ascii="Arial Narrow" w:hAnsi="Arial Narrow" w:cs="Arial"/>
                <w:color w:val="000000"/>
                <w:sz w:val="24"/>
                <w:szCs w:val="24"/>
              </w:rPr>
            </w:pPr>
            <w:proofErr w:type="gramStart"/>
            <w:proofErr w:type="gramEnd"/>
            <w:r w:rsidR="008D4536" w:rsidRPr="006D375B">
              <w:rPr>
                <w:rFonts w:ascii="Arial Narrow" w:hAnsi="Arial Narrow" w:cs="Arial"/>
                <w:color w:val="000000"/>
                <w:sz w:val="24"/>
                <w:szCs w:val="24"/>
              </w:rPr>
              <w:t>O FUNDO PODERÁ ADQUIRIR ATIVOS OU MODALIDADES OPERACIONAIS DE RESPONSABILIDADE DE PESSOAS FÍSICAS OU JURÍDICAS DE DIREITO PRIVADO, OU DE EMISSORES PÚBLICOS QUE NÃO A UNIÃO FEDERAL, QUE EM CONJUNTO EXCEDAM 50% DO PATRIMÔNIO LÍQUIDO DO FUNDO. O FUNDO ESTARÁ SUJEITO A SIGNIFICATIVAS PERDAS EM CASO DE NÃO PAGAMENTO DE TAIS ATIVOS E/OU MODALIDADES OPERACIONAIS.</w:t>
            </w:r>
          </w:p>
          <w:p w14:paraId="5DBA7C79" w14:textId="5E903B34" w:rsidR="00F0074E" w:rsidRPr="00721819" w:rsidRDefault="00F0074E" w:rsidP="00F0074E">
            <w:pPr>
              <w:tabs>
                <w:tab w:val="left" w:pos="702"/>
              </w:tabs>
              <w:autoSpaceDE w:val="0"/>
              <w:autoSpaceDN w:val="0"/>
              <w:adjustRightInd w:val="0"/>
              <w:spacing w:after="120"/>
              <w:jc w:val="both"/>
              <w:rPr>
                <w:rFonts w:ascii="Arial Narrow" w:hAnsi="Arial Narrow" w:cs="Arial"/>
                <w:color w:val="000000"/>
                <w:sz w:val="24"/>
                <w:szCs w:val="24"/>
              </w:rPr>
            </w:pP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A2F359F"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sectPr w:rsidR="00C71E3F" w:rsidRPr="00315FFA" w:rsidSect="00F83D73">
      <w:headerReference w:type="default" r:id="rId14"/>
      <w:footerReference w:type="default" r:id="rId15"/>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54B1C" w14:textId="77777777" w:rsidR="00E6785A" w:rsidRDefault="00E6785A">
      <w:r>
        <w:separator/>
      </w:r>
    </w:p>
  </w:endnote>
  <w:endnote w:type="continuationSeparator" w:id="0">
    <w:p w14:paraId="7271793E" w14:textId="77777777" w:rsidR="00E6785A" w:rsidRDefault="00E67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3AD51" w14:textId="77777777" w:rsidR="000B3C31" w:rsidRPr="003E53D4" w:rsidRDefault="000B3C31" w:rsidP="000B3C31">
    <w:pPr>
      <w:pStyle w:val="Template-Companyname"/>
      <w:rPr>
        <w:rFonts w:ascii="Arial" w:hAnsi="Arial" w:cs="Arial"/>
        <w:bCs/>
        <w:color w:val="102653"/>
        <w:lang w:val="pt-BR"/>
      </w:rPr>
    </w:pPr>
    <w:r w:rsidRPr="003E53D4">
      <w:rPr>
        <w:rFonts w:ascii="Arial" w:hAnsi="Arial" w:cs="Arial"/>
        <w:bCs/>
        <w:color w:val="102653"/>
        <w:lang w:val="pt-BR"/>
      </w:rPr>
      <w:t>BTG Pactual</w:t>
    </w:r>
  </w:p>
  <w:p w14:paraId="6F441AC4" w14:textId="0E8264E4" w:rsidR="000B3C31" w:rsidRPr="000B3C31" w:rsidRDefault="000B3C31">
    <w:pPr>
      <w:pStyle w:val="Footer"/>
      <w:rPr>
        <w:color w:val="102653"/>
        <w:sz w:val="18"/>
      </w:rPr>
    </w:pPr>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4527320"/>
        <w:docPartObj>
          <w:docPartGallery w:val="Page Numbers (Bottom of Page)"/>
          <w:docPartUnique/>
        </w:docPartObj>
      </w:sdtPr>
      <w:sdtEndPr>
        <w:rPr>
          <w:rFonts w:ascii="Arial" w:hAnsi="Arial" w:cs="Arial"/>
          <w:szCs w:val="18"/>
        </w:rPr>
      </w:sdtEndPr>
      <w:sdtContent>
        <w:sdt>
          <w:sdtPr>
            <w:rPr>
              <w:color w:val="102653"/>
              <w:sz w:val="18"/>
            </w:rPr>
            <w:id w:val="-937209691"/>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A81C5" w14:textId="77777777" w:rsidR="00CA5ADE" w:rsidRPr="003E53D4" w:rsidRDefault="00CA5ADE" w:rsidP="00CA5ADE">
    <w:pPr>
      <w:pStyle w:val="Template-Companyname"/>
      <w:rPr>
        <w:rFonts w:ascii="Arial" w:hAnsi="Arial" w:cs="Arial"/>
        <w:bCs/>
        <w:color w:val="102653"/>
        <w:lang w:val="pt-BR"/>
      </w:rPr>
    </w:pPr>
    <w:bookmarkStart w:id="12"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13"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12"/>
    <w:bookmarkEnd w:id="13"/>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952BA" w14:textId="77777777" w:rsidR="00E6785A" w:rsidRDefault="00E6785A">
      <w:r>
        <w:separator/>
      </w:r>
    </w:p>
  </w:footnote>
  <w:footnote w:type="continuationSeparator" w:id="0">
    <w:p w14:paraId="7DE1ADB8" w14:textId="77777777" w:rsidR="00E6785A" w:rsidRDefault="00E67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29210" w14:textId="6A2690EA" w:rsidR="000B3C31" w:rsidRDefault="000B3C31" w:rsidP="000B3C31">
    <w:pPr>
      <w:pStyle w:val="Header"/>
      <w:tabs>
        <w:tab w:val="clear" w:pos="4153"/>
        <w:tab w:val="clear" w:pos="8306"/>
      </w:tabs>
      <w:jc w:val="right"/>
    </w:pPr>
    <w:r w:rsidRPr="009E266A">
      <w:rPr>
        <w:rFonts w:ascii="Arial" w:hAnsi="Arial" w:cs="Arial"/>
        <w:noProof/>
      </w:rPr>
      <w:drawing>
        <wp:inline distT="0" distB="0" distL="0" distR="0" wp14:anchorId="02E219CC" wp14:editId="37045FC2">
          <wp:extent cx="1265555" cy="488950"/>
          <wp:effectExtent l="0" t="0" r="0" b="0"/>
          <wp:docPr id="196850049" name="Picture 196850049"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ocumentProtection w:edit="forms" w:enforcement="1" w:cryptProviderType="rsaFull" w:cryptAlgorithmClass="hash" w:cryptAlgorithmType="typeAny" w:cryptAlgorithmSid="4" w:cryptSpinCount="100000" w:hash="xOH2IBPlu8kicpyY8bZMRBIBIC8=" w:salt="xSkDzg7UZAtGuGkzjQuYEQ=="/>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E63"/>
    <w:rsid w:val="000A0309"/>
    <w:rsid w:val="000A1B74"/>
    <w:rsid w:val="000A2A0E"/>
    <w:rsid w:val="000A38A1"/>
    <w:rsid w:val="000A3C49"/>
    <w:rsid w:val="000A50A3"/>
    <w:rsid w:val="000A6ADE"/>
    <w:rsid w:val="000A6DD8"/>
    <w:rsid w:val="000A7399"/>
    <w:rsid w:val="000A7EEA"/>
    <w:rsid w:val="000B035E"/>
    <w:rsid w:val="000B09CC"/>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4007B"/>
    <w:rsid w:val="00340585"/>
    <w:rsid w:val="003412D6"/>
    <w:rsid w:val="003417E9"/>
    <w:rsid w:val="00341CF2"/>
    <w:rsid w:val="00341F7F"/>
    <w:rsid w:val="00342E86"/>
    <w:rsid w:val="00344AF3"/>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B3"/>
    <w:rsid w:val="004220FB"/>
    <w:rsid w:val="00423353"/>
    <w:rsid w:val="00423368"/>
    <w:rsid w:val="00424213"/>
    <w:rsid w:val="00424CC3"/>
    <w:rsid w:val="0042599D"/>
    <w:rsid w:val="00425BB0"/>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FA7"/>
    <w:rsid w:val="009E7FDF"/>
    <w:rsid w:val="009F0007"/>
    <w:rsid w:val="009F0281"/>
    <w:rsid w:val="009F0A67"/>
    <w:rsid w:val="009F1676"/>
    <w:rsid w:val="009F281E"/>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header2.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4A835-33E0-4914-B124-EA59A24CD53A}">
  <ds:schemaRefs>
    <ds:schemaRef ds:uri="http://schemas.microsoft.com/office/2006/metadata/properties"/>
    <ds:schemaRef ds:uri="http://schemas.microsoft.com/office/infopath/2007/PartnerControls"/>
    <ds:schemaRef ds:uri="ccdc77cc-1942-4627-a4ab-5f16409c8cb6"/>
    <ds:schemaRef ds:uri="406d4637-727a-4907-95da-031bf71e7106"/>
  </ds:schemaRefs>
</ds:datastoreItem>
</file>

<file path=customXml/itemProps2.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3.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customXml/itemProps4.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5.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Normal.dotm</Template>
  <TotalTime>1382</TotalTime>
  <Pages>3</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4900</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2025-09-30T18:28:54Z</dcterms:created>
  <dcterms:modified xsi:type="dcterms:W3CDTF">2025-09-30T18:28:54Z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